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8A53B" w14:textId="77777777" w:rsidR="00DF20B4" w:rsidRDefault="00000000">
      <w:pPr>
        <w:spacing w:after="240" w:line="640" w:lineRule="exact"/>
        <w:ind w:firstLineChars="0" w:firstLine="0"/>
        <w:jc w:val="left"/>
        <w:rPr>
          <w:rFonts w:ascii="黑体" w:eastAsia="黑体" w:hAnsi="黑体" w:hint="eastAsia"/>
          <w:szCs w:val="36"/>
        </w:rPr>
      </w:pPr>
      <w:r>
        <w:rPr>
          <w:rFonts w:ascii="黑体" w:eastAsia="黑体" w:hAnsi="黑体" w:hint="eastAsia"/>
          <w:szCs w:val="36"/>
        </w:rPr>
        <w:t>附件4：</w:t>
      </w:r>
    </w:p>
    <w:p w14:paraId="54D76B33" w14:textId="77777777" w:rsidR="00DF20B4" w:rsidRDefault="00000000">
      <w:pPr>
        <w:spacing w:after="240" w:line="680" w:lineRule="exact"/>
        <w:ind w:firstLineChars="0" w:firstLine="0"/>
        <w:jc w:val="center"/>
        <w:rPr>
          <w:rFonts w:ascii="方正小标宋简体" w:eastAsia="方正小标宋简体" w:hAnsi="方正小标宋简体" w:hint="eastAsia"/>
          <w:sz w:val="44"/>
          <w:szCs w:val="48"/>
        </w:rPr>
      </w:pPr>
      <w:r>
        <w:rPr>
          <w:rFonts w:ascii="方正小标宋简体" w:eastAsia="方正小标宋简体" w:hAnsi="方正小标宋简体"/>
          <w:sz w:val="44"/>
          <w:szCs w:val="48"/>
        </w:rPr>
        <w:t>中国石油大学（北京）第三十一届学生委员会和第十届研究生委员会常任代表候选人酝酿提名办法及指导意见</w:t>
      </w:r>
    </w:p>
    <w:p w14:paraId="67386827" w14:textId="77777777" w:rsidR="00DF20B4" w:rsidRDefault="00000000">
      <w:pPr>
        <w:ind w:firstLine="640"/>
      </w:pPr>
      <w:r>
        <w:t>根据《普通高等学校学生（研究生）代表大会工作规定》等有关规定，为做好中国石油大学（北京）第三十一次学生代表大会暨第十次研究生代表大会有关候选人的酝酿提名工作，制定本办法及指导意见。</w:t>
      </w:r>
    </w:p>
    <w:p w14:paraId="7A009E32" w14:textId="77777777" w:rsidR="00DF20B4" w:rsidRDefault="00000000">
      <w:pPr>
        <w:ind w:firstLine="640"/>
      </w:pPr>
      <w:r>
        <w:t>本办法所称常任代表候选人，分别指第三十一届学生委员会常任委员候选人和第十届研究生委员会常任代表候选人；两类候选人的推荐和选举分别在学生代表大会、研究生代表大会范围内进行。</w:t>
      </w:r>
    </w:p>
    <w:p w14:paraId="04C1D1F0" w14:textId="77777777" w:rsidR="00DF20B4" w:rsidRDefault="00000000">
      <w:pPr>
        <w:ind w:firstLine="640"/>
        <w:rPr>
          <w:rFonts w:ascii="黑体" w:eastAsia="黑体" w:hAnsi="黑体" w:hint="eastAsia"/>
        </w:rPr>
      </w:pPr>
      <w:r>
        <w:rPr>
          <w:rFonts w:ascii="黑体" w:eastAsia="黑体" w:hAnsi="黑体"/>
        </w:rPr>
        <w:t>一、常设机构设置及人员结构要求</w:t>
      </w:r>
    </w:p>
    <w:p w14:paraId="1A9F9BB6" w14:textId="77777777" w:rsidR="00DF20B4" w:rsidRDefault="00000000">
      <w:pPr>
        <w:ind w:firstLine="640"/>
      </w:pPr>
      <w:r>
        <w:t>按照《普通高等学校学生（研究生）代表大会工作规定》，</w:t>
      </w:r>
      <w:r>
        <w:t>“</w:t>
      </w:r>
      <w:r>
        <w:t>常任代表或委员候选人由各院（系）从正式代表中推荐产生，应覆盖各院（系）；其中，学生会组织主席团成员和工作部门负责人一般不超过</w:t>
      </w:r>
      <w:r>
        <w:t>30%</w:t>
      </w:r>
      <w:r>
        <w:t>。常设机构人数一般不超过学校院（系）数量的</w:t>
      </w:r>
      <w:r>
        <w:t>2</w:t>
      </w:r>
      <w:r>
        <w:t>倍</w:t>
      </w:r>
      <w:r>
        <w:t>”</w:t>
      </w:r>
      <w:r>
        <w:t>。</w:t>
      </w:r>
    </w:p>
    <w:p w14:paraId="78255F71" w14:textId="3B9A01DD" w:rsidR="00DF20B4" w:rsidRDefault="00000000">
      <w:pPr>
        <w:ind w:firstLine="640"/>
      </w:pPr>
      <w:r>
        <w:t>第三十一届学生委员会拟设置常任委员</w:t>
      </w:r>
      <w:r>
        <w:t>2</w:t>
      </w:r>
      <w:r w:rsidR="00FE603B">
        <w:rPr>
          <w:rFonts w:hint="eastAsia"/>
        </w:rPr>
        <w:t>3</w:t>
      </w:r>
      <w:r>
        <w:t>人，提交大会的候选人预备人选</w:t>
      </w:r>
      <w:r>
        <w:t>2</w:t>
      </w:r>
      <w:r w:rsidR="00FE603B">
        <w:rPr>
          <w:rFonts w:hint="eastAsia"/>
        </w:rPr>
        <w:t>5</w:t>
      </w:r>
      <w:r>
        <w:t>人，通过大会投票差额</w:t>
      </w:r>
      <w:r>
        <w:t>2</w:t>
      </w:r>
      <w:r>
        <w:t>人；第十届研究生委员会拟设置常任代表</w:t>
      </w:r>
      <w:r>
        <w:t>21</w:t>
      </w:r>
      <w:r>
        <w:t>人，提交大会的候选人预备人选</w:t>
      </w:r>
      <w:r>
        <w:t>23</w:t>
      </w:r>
      <w:r>
        <w:t>人，通过大会投票差额</w:t>
      </w:r>
      <w:r>
        <w:t>2</w:t>
      </w:r>
      <w:r>
        <w:t>人。</w:t>
      </w:r>
    </w:p>
    <w:p w14:paraId="4CCB7972" w14:textId="77777777" w:rsidR="00DF20B4" w:rsidRDefault="00000000">
      <w:pPr>
        <w:ind w:firstLine="640"/>
        <w:rPr>
          <w:rFonts w:ascii="黑体" w:eastAsia="黑体" w:hAnsi="黑体" w:hint="eastAsia"/>
        </w:rPr>
      </w:pPr>
      <w:r>
        <w:rPr>
          <w:rFonts w:ascii="黑体" w:eastAsia="黑体" w:hAnsi="黑体"/>
        </w:rPr>
        <w:lastRenderedPageBreak/>
        <w:t>二、常任代表候选人的基本条件</w:t>
      </w:r>
    </w:p>
    <w:p w14:paraId="34FEECF2" w14:textId="77777777" w:rsidR="00DF20B4" w:rsidRDefault="00000000">
      <w:pPr>
        <w:ind w:firstLine="640"/>
      </w:pPr>
      <w:r>
        <w:t>常任代表候选人应具有本校正式学籍，为在校学生，并须从本次相应代表大会正式代表中推荐产生。</w:t>
      </w:r>
    </w:p>
    <w:p w14:paraId="32D4D449" w14:textId="77777777" w:rsidR="00DF20B4" w:rsidRDefault="00000000">
      <w:pPr>
        <w:ind w:firstLine="640"/>
      </w:pPr>
      <w:r>
        <w:t>候选人应坚持四项基本原则，真正发挥先锋模范作用；有理想、有道德、有文化、有纪律，同广大同学保持密切联系，受到广大同学的拥护和信任；能够如实反映学生组织和广大同学的意见，是非分明，正确行使民主权利；能够顾全大局，具有较强的议事能力、组织能力和管理能力。</w:t>
      </w:r>
    </w:p>
    <w:p w14:paraId="29E0BC3A" w14:textId="77777777" w:rsidR="00DF20B4" w:rsidRDefault="00000000">
      <w:pPr>
        <w:ind w:firstLine="640"/>
        <w:rPr>
          <w:rFonts w:ascii="黑体" w:eastAsia="黑体" w:hAnsi="黑体" w:hint="eastAsia"/>
        </w:rPr>
      </w:pPr>
      <w:r>
        <w:rPr>
          <w:rFonts w:ascii="黑体" w:eastAsia="黑体" w:hAnsi="黑体"/>
        </w:rPr>
        <w:t>三、常任代表候选人的酝酿提名</w:t>
      </w:r>
    </w:p>
    <w:p w14:paraId="2DA1D064" w14:textId="45305C97" w:rsidR="00DF20B4" w:rsidRDefault="00000000">
      <w:pPr>
        <w:ind w:firstLine="640"/>
      </w:pPr>
      <w:r>
        <w:t>各学院团委（团总支）指导本学院学生会、研究生会分别从相应代表大会的正式代表中进行酝酿提名。第三十一届学生委员会常任委员候选人按照各学院学生代表大会正式代表数量的</w:t>
      </w:r>
      <w:r>
        <w:t>20%</w:t>
      </w:r>
      <w:r w:rsidR="00677DBD">
        <w:rPr>
          <w:rFonts w:hint="eastAsia"/>
        </w:rPr>
        <w:t>-</w:t>
      </w:r>
      <w:r>
        <w:t>25%</w:t>
      </w:r>
      <w:r>
        <w:t>提名；第十届研究生委员会常任代表候选人按照各学院研究生代表大会正式代表数量的</w:t>
      </w:r>
      <w:r>
        <w:t>25%</w:t>
      </w:r>
      <w:r>
        <w:t>提名。</w:t>
      </w:r>
    </w:p>
    <w:p w14:paraId="33C46592" w14:textId="661F2B6E" w:rsidR="00DF20B4" w:rsidRDefault="00000000">
      <w:pPr>
        <w:ind w:firstLine="640"/>
      </w:pPr>
      <w:r>
        <w:t>候选人的具体提名名额按学院</w:t>
      </w:r>
      <w:r w:rsidR="00FE603B">
        <w:rPr>
          <w:rFonts w:hint="eastAsia"/>
        </w:rPr>
        <w:t>进行分配，</w:t>
      </w:r>
      <w:r w:rsidR="00CE6248">
        <w:rPr>
          <w:rFonts w:hint="eastAsia"/>
        </w:rPr>
        <w:t>具体名额分配</w:t>
      </w:r>
      <w:r w:rsidR="00FE603B">
        <w:rPr>
          <w:rFonts w:hint="eastAsia"/>
        </w:rPr>
        <w:t>情况</w:t>
      </w:r>
      <w:r w:rsidR="00CE6248">
        <w:rPr>
          <w:rFonts w:hint="eastAsia"/>
        </w:rPr>
        <w:t>见《</w:t>
      </w:r>
      <w:r w:rsidR="00CE6248" w:rsidRPr="00CE6248">
        <w:t>中国石油大学（北京）第三十一次学生代表大会暨第十次研究生代表大会代表名额分布表（正式代表、列席代表、特邀代表）</w:t>
      </w:r>
      <w:r w:rsidR="00CE6248">
        <w:rPr>
          <w:rFonts w:hint="eastAsia"/>
        </w:rPr>
        <w:t>》（附件</w:t>
      </w:r>
      <w:r w:rsidR="00CE6248">
        <w:rPr>
          <w:rFonts w:hint="eastAsia"/>
        </w:rPr>
        <w:t>3</w:t>
      </w:r>
      <w:r w:rsidR="00CE6248">
        <w:rPr>
          <w:rFonts w:hint="eastAsia"/>
        </w:rPr>
        <w:t>）</w:t>
      </w:r>
    </w:p>
    <w:p w14:paraId="192D0F2B" w14:textId="77777777" w:rsidR="00DF20B4" w:rsidRDefault="00000000">
      <w:pPr>
        <w:ind w:firstLine="640"/>
        <w:rPr>
          <w:rFonts w:ascii="黑体" w:eastAsia="黑体" w:hAnsi="黑体" w:hint="eastAsia"/>
        </w:rPr>
      </w:pPr>
      <w:r>
        <w:rPr>
          <w:rFonts w:ascii="黑体" w:eastAsia="黑体" w:hAnsi="黑体"/>
        </w:rPr>
        <w:t>四、候选人预备人选确定及大会选举</w:t>
      </w:r>
    </w:p>
    <w:p w14:paraId="70ABA20F" w14:textId="2EB32A50" w:rsidR="00DF20B4" w:rsidRDefault="00000000">
      <w:pPr>
        <w:ind w:firstLine="640"/>
      </w:pPr>
      <w:r>
        <w:t>各学院完成酝酿提名后，由相应代表大会正式代表在大会预备会议阶段投票产生候选人预备人选最终名单，分别确定第三十一届学生委员会常任委员候选人预备人选</w:t>
      </w:r>
      <w:r>
        <w:t>2</w:t>
      </w:r>
      <w:r w:rsidR="00CE6248">
        <w:rPr>
          <w:rFonts w:hint="eastAsia"/>
        </w:rPr>
        <w:t>5</w:t>
      </w:r>
      <w:r>
        <w:t>人、第十届研究生委员会常任代表候选人预备人选</w:t>
      </w:r>
      <w:r>
        <w:t>23</w:t>
      </w:r>
      <w:r>
        <w:t>人，并提</w:t>
      </w:r>
      <w:r>
        <w:lastRenderedPageBreak/>
        <w:t>交各自代表大会进行正式差额选举，分别选举产生</w:t>
      </w:r>
      <w:r w:rsidR="00FE603B">
        <w:rPr>
          <w:rFonts w:hint="eastAsia"/>
        </w:rPr>
        <w:t>23</w:t>
      </w:r>
      <w:r w:rsidR="00FE603B">
        <w:rPr>
          <w:rFonts w:hint="eastAsia"/>
        </w:rPr>
        <w:t>人和</w:t>
      </w:r>
      <w:r>
        <w:t>21</w:t>
      </w:r>
      <w:r>
        <w:t>人。</w:t>
      </w:r>
    </w:p>
    <w:p w14:paraId="0375178F" w14:textId="77777777" w:rsidR="00DF20B4" w:rsidRDefault="00000000">
      <w:pPr>
        <w:ind w:firstLine="640"/>
      </w:pPr>
      <w:r>
        <w:t>各代表团进行候选人推选投票时，学生代表大会实到学生代表人数达到应到学生代表人数的三分之二，方可进行投票；研究生代表大会实到研究生代表人数超过应到研究生代表人数的三分之二，方可进行投票。</w:t>
      </w:r>
    </w:p>
    <w:p w14:paraId="3E157109" w14:textId="77777777" w:rsidR="00DF20B4" w:rsidRDefault="00000000">
      <w:pPr>
        <w:ind w:firstLine="640"/>
      </w:pPr>
      <w:r>
        <w:t>大会正式选举按照有关规定及大会通过的选举办法进行。</w:t>
      </w:r>
    </w:p>
    <w:p w14:paraId="579E46ED" w14:textId="77777777" w:rsidR="00DF20B4" w:rsidRDefault="00DF20B4">
      <w:pPr>
        <w:ind w:firstLine="640"/>
      </w:pPr>
    </w:p>
    <w:p w14:paraId="2D4A6480" w14:textId="64C4275B" w:rsidR="00DF20B4" w:rsidRDefault="00000000">
      <w:pPr>
        <w:wordWrap w:val="0"/>
        <w:ind w:firstLine="640"/>
        <w:jc w:val="right"/>
        <w:rPr>
          <w:rFonts w:ascii="仿宋_GB2312" w:hAnsi="黑体" w:hint="eastAsia"/>
          <w:szCs w:val="36"/>
        </w:rPr>
      </w:pPr>
      <w:r>
        <w:rPr>
          <w:rFonts w:ascii="仿宋_GB2312" w:hAnsi="黑体" w:hint="eastAsia"/>
          <w:szCs w:val="36"/>
        </w:rPr>
        <w:t xml:space="preserve"> </w:t>
      </w:r>
    </w:p>
    <w:sectPr w:rsidR="00DF20B4">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111CD" w14:textId="77777777" w:rsidR="007822EB" w:rsidRDefault="007822EB">
      <w:pPr>
        <w:spacing w:line="240" w:lineRule="auto"/>
        <w:ind w:firstLine="640"/>
      </w:pPr>
      <w:r>
        <w:separator/>
      </w:r>
    </w:p>
  </w:endnote>
  <w:endnote w:type="continuationSeparator" w:id="0">
    <w:p w14:paraId="70EFF9CE" w14:textId="77777777" w:rsidR="007822EB" w:rsidRDefault="007822EB">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41B7F" w14:textId="77777777" w:rsidR="00DF20B4" w:rsidRDefault="00DF20B4">
    <w:pPr>
      <w:pStyle w:val="a3"/>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EndPr>
      <w:rPr>
        <w:b/>
        <w:bCs/>
        <w:sz w:val="24"/>
        <w:szCs w:val="24"/>
      </w:rPr>
    </w:sdtEndPr>
    <w:sdtContent>
      <w:p w14:paraId="2026F419" w14:textId="77777777" w:rsidR="00DF20B4" w:rsidRDefault="00000000">
        <w:pPr>
          <w:pStyle w:val="a3"/>
          <w:ind w:firstLine="360"/>
          <w:jc w:val="center"/>
          <w:rPr>
            <w:b/>
            <w:bCs/>
            <w:sz w:val="24"/>
            <w:szCs w:val="24"/>
          </w:rPr>
        </w:pPr>
        <w:r>
          <w:rPr>
            <w:b/>
            <w:bCs/>
            <w:sz w:val="24"/>
            <w:szCs w:val="24"/>
          </w:rPr>
          <w:fldChar w:fldCharType="begin"/>
        </w:r>
        <w:r>
          <w:rPr>
            <w:b/>
            <w:bCs/>
            <w:sz w:val="24"/>
            <w:szCs w:val="24"/>
          </w:rPr>
          <w:instrText>PAGE   \* MERGEFORMAT</w:instrText>
        </w:r>
        <w:r>
          <w:rPr>
            <w:b/>
            <w:bCs/>
            <w:sz w:val="24"/>
            <w:szCs w:val="24"/>
          </w:rPr>
          <w:fldChar w:fldCharType="separate"/>
        </w:r>
        <w:r>
          <w:rPr>
            <w:b/>
            <w:bCs/>
            <w:sz w:val="24"/>
            <w:szCs w:val="24"/>
            <w:lang w:val="zh-CN"/>
          </w:rPr>
          <w:t>2</w:t>
        </w:r>
        <w:r>
          <w:rPr>
            <w:b/>
            <w:bCs/>
            <w:sz w:val="24"/>
            <w:szCs w:val="24"/>
          </w:rPr>
          <w:fldChar w:fldCharType="end"/>
        </w:r>
      </w:p>
    </w:sdtContent>
  </w:sdt>
  <w:p w14:paraId="116F2373" w14:textId="77777777" w:rsidR="00DF20B4" w:rsidRDefault="00DF20B4">
    <w:pPr>
      <w:pStyle w:val="a3"/>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CD5C9" w14:textId="77777777" w:rsidR="00DF20B4" w:rsidRDefault="00DF20B4">
    <w:pPr>
      <w:pStyle w:val="a3"/>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5F7A6" w14:textId="77777777" w:rsidR="007822EB" w:rsidRDefault="007822EB">
      <w:pPr>
        <w:spacing w:line="240" w:lineRule="auto"/>
        <w:ind w:firstLine="640"/>
      </w:pPr>
      <w:r>
        <w:separator/>
      </w:r>
    </w:p>
  </w:footnote>
  <w:footnote w:type="continuationSeparator" w:id="0">
    <w:p w14:paraId="36BF310D" w14:textId="77777777" w:rsidR="007822EB" w:rsidRDefault="007822EB">
      <w:pPr>
        <w:spacing w:line="240" w:lineRule="auto"/>
        <w:ind w:firstLine="6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03C28" w14:textId="77777777" w:rsidR="00DF20B4" w:rsidRDefault="00DF20B4">
    <w:pPr>
      <w:pStyle w:val="a5"/>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7C8A8" w14:textId="77777777" w:rsidR="00DF20B4" w:rsidRDefault="00DF20B4">
    <w:pPr>
      <w:pStyle w:val="a5"/>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4FB58" w14:textId="77777777" w:rsidR="00DF20B4" w:rsidRDefault="00DF20B4">
    <w:pPr>
      <w:pStyle w:val="a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B94"/>
    <w:rsid w:val="00047766"/>
    <w:rsid w:val="00101C04"/>
    <w:rsid w:val="00182D73"/>
    <w:rsid w:val="00293C36"/>
    <w:rsid w:val="0046486D"/>
    <w:rsid w:val="004B7E10"/>
    <w:rsid w:val="005E500C"/>
    <w:rsid w:val="00677DBD"/>
    <w:rsid w:val="007822EB"/>
    <w:rsid w:val="00844058"/>
    <w:rsid w:val="00903687"/>
    <w:rsid w:val="00A17836"/>
    <w:rsid w:val="00AF5967"/>
    <w:rsid w:val="00BF0ACF"/>
    <w:rsid w:val="00CB3D3C"/>
    <w:rsid w:val="00CE6248"/>
    <w:rsid w:val="00D275A2"/>
    <w:rsid w:val="00D32B94"/>
    <w:rsid w:val="00DF20B4"/>
    <w:rsid w:val="00E12DD7"/>
    <w:rsid w:val="00F40C4F"/>
    <w:rsid w:val="00FE603B"/>
    <w:rsid w:val="4FFA3157"/>
    <w:rsid w:val="DF6230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DD7D21"/>
  <w15:docId w15:val="{40B86379-D880-40D7-80B5-854C2A5B8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line="560" w:lineRule="exact"/>
      <w:ind w:firstLineChars="200" w:firstLine="200"/>
      <w:jc w:val="both"/>
    </w:pPr>
    <w:rPr>
      <w:rFonts w:ascii="Times New Roman" w:eastAsia="仿宋_GB2312" w:hAnsi="Times New Roman"/>
      <w:color w:val="000000" w:themeColor="text1"/>
      <w:kern w:val="2"/>
      <w:sz w:val="32"/>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F5496" w:themeColor="accent1" w:themeShade="BF"/>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Subtitle"/>
    <w:basedOn w:val="a"/>
    <w:next w:val="a"/>
    <w:link w:val="a8"/>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9">
    <w:name w:val="Title"/>
    <w:basedOn w:val="a"/>
    <w:next w:val="a"/>
    <w:link w:val="aa"/>
    <w:uiPriority w:val="10"/>
    <w:qFormat/>
    <w:pPr>
      <w:spacing w:after="80"/>
      <w:contextualSpacing/>
      <w:jc w:val="center"/>
    </w:pPr>
    <w:rPr>
      <w:rFonts w:asciiTheme="majorHAnsi" w:eastAsiaTheme="majorEastAsia" w:hAnsiTheme="majorHAnsi" w:cstheme="majorBidi"/>
      <w:spacing w:val="-10"/>
      <w:kern w:val="28"/>
      <w:sz w:val="56"/>
      <w:szCs w:val="56"/>
    </w:rPr>
  </w:style>
  <w:style w:type="table" w:styleId="ab">
    <w:name w:val="Table Grid"/>
    <w:basedOn w:val="a1"/>
    <w:uiPriority w:val="59"/>
    <w:rPr>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Pr>
      <w:rFonts w:cstheme="majorBidi"/>
      <w:color w:val="2F5496" w:themeColor="accent1" w:themeShade="BF"/>
      <w:sz w:val="28"/>
      <w:szCs w:val="28"/>
    </w:rPr>
  </w:style>
  <w:style w:type="character" w:customStyle="1" w:styleId="50">
    <w:name w:val="标题 5 字符"/>
    <w:basedOn w:val="a0"/>
    <w:link w:val="5"/>
    <w:uiPriority w:val="9"/>
    <w:semiHidden/>
    <w:rPr>
      <w:rFonts w:cstheme="majorBidi"/>
      <w:color w:val="2F5496" w:themeColor="accent1" w:themeShade="BF"/>
      <w:sz w:val="24"/>
      <w:szCs w:val="24"/>
    </w:rPr>
  </w:style>
  <w:style w:type="character" w:customStyle="1" w:styleId="60">
    <w:name w:val="标题 6 字符"/>
    <w:basedOn w:val="a0"/>
    <w:link w:val="6"/>
    <w:uiPriority w:val="9"/>
    <w:semiHidden/>
    <w:rPr>
      <w:rFonts w:cstheme="majorBidi"/>
      <w:b/>
      <w:bCs/>
      <w:color w:val="2F5496"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a">
    <w:name w:val="标题 字符"/>
    <w:basedOn w:val="a0"/>
    <w:link w:val="a9"/>
    <w:uiPriority w:val="10"/>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ad"/>
    <w:uiPriority w:val="29"/>
    <w:qFormat/>
    <w:pPr>
      <w:spacing w:before="160" w:after="160"/>
      <w:jc w:val="center"/>
    </w:pPr>
    <w:rPr>
      <w:i/>
      <w:iCs/>
      <w:color w:val="404040" w:themeColor="text1" w:themeTint="BF"/>
    </w:rPr>
  </w:style>
  <w:style w:type="character" w:customStyle="1" w:styleId="ad">
    <w:name w:val="引用 字符"/>
    <w:basedOn w:val="a0"/>
    <w:link w:val="ac"/>
    <w:uiPriority w:val="29"/>
    <w:rPr>
      <w:i/>
      <w:iCs/>
      <w:color w:val="404040" w:themeColor="text1" w:themeTint="BF"/>
    </w:rPr>
  </w:style>
  <w:style w:type="paragraph" w:styleId="ae">
    <w:name w:val="List Paragraph"/>
    <w:basedOn w:val="a"/>
    <w:uiPriority w:val="34"/>
    <w:qFormat/>
    <w:pPr>
      <w:ind w:left="720"/>
      <w:contextualSpacing/>
    </w:pPr>
  </w:style>
  <w:style w:type="character" w:customStyle="1" w:styleId="11">
    <w:name w:val="明显强调1"/>
    <w:basedOn w:val="a0"/>
    <w:uiPriority w:val="21"/>
    <w:qFormat/>
    <w:rPr>
      <w:i/>
      <w:iCs/>
      <w:color w:val="2F5496" w:themeColor="accent1" w:themeShade="BF"/>
    </w:rPr>
  </w:style>
  <w:style w:type="paragraph" w:styleId="af">
    <w:name w:val="Intense Quote"/>
    <w:basedOn w:val="a"/>
    <w:next w:val="a"/>
    <w:link w:val="af0"/>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0">
    <w:name w:val="明显引用 字符"/>
    <w:basedOn w:val="a0"/>
    <w:link w:val="af"/>
    <w:uiPriority w:val="30"/>
    <w:rPr>
      <w:i/>
      <w:iCs/>
      <w:color w:val="2F5496" w:themeColor="accent1" w:themeShade="BF"/>
    </w:rPr>
  </w:style>
  <w:style w:type="character" w:customStyle="1" w:styleId="12">
    <w:name w:val="明显参考1"/>
    <w:basedOn w:val="a0"/>
    <w:uiPriority w:val="32"/>
    <w:qFormat/>
    <w:rPr>
      <w:b/>
      <w:bCs/>
      <w:smallCaps/>
      <w:color w:val="2F5496" w:themeColor="accent1" w:themeShade="BF"/>
      <w:spacing w:val="5"/>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customStyle="1" w:styleId="OfficialHeading">
    <w:name w:val="OfficialHeading"/>
    <w:basedOn w:val="a"/>
    <w:pPr>
      <w:keepNext/>
      <w:keepLines/>
      <w:widowControl/>
      <w:spacing w:before="160" w:after="40" w:line="348" w:lineRule="auto"/>
      <w:ind w:firstLineChars="0" w:firstLine="0"/>
      <w:jc w:val="left"/>
    </w:pPr>
    <w:rPr>
      <w:rFonts w:ascii="黑体" w:eastAsia="黑体" w:hAnsi="黑体"/>
      <w:color w:val="auto"/>
      <w:kern w:val="0"/>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575</Words>
  <Characters>581</Characters>
  <Application>Microsoft Office Word</Application>
  <DocSecurity>0</DocSecurity>
  <Lines>29</Lines>
  <Paragraphs>17</Paragraphs>
  <ScaleCrop>false</ScaleCrop>
  <Company/>
  <LinksUpToDate>false</LinksUpToDate>
  <CharactersWithSpaces>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驰翀 徐</dc:creator>
  <cp:lastModifiedBy>驰翀 徐</cp:lastModifiedBy>
  <cp:revision>9</cp:revision>
  <dcterms:created xsi:type="dcterms:W3CDTF">2026-10-22T10:10:00Z</dcterms:created>
  <dcterms:modified xsi:type="dcterms:W3CDTF">2026-10-23T01:59:00Z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25E834DB177EBF833A06DA6AE9AE8D18_42</vt:lpwstr>
  </property>
</Properties>
</file>